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79"/>
        <w:gridCol w:w="1626"/>
        <w:gridCol w:w="10681"/>
      </w:tblGrid>
      <w:tr w:rsidR="00526163" w:rsidRPr="00526163" w:rsidTr="00FB01DA">
        <w:trPr>
          <w:tblHeader/>
        </w:trPr>
        <w:tc>
          <w:tcPr>
            <w:tcW w:w="838" w:type="pct"/>
          </w:tcPr>
          <w:p w:rsidR="00A730C9" w:rsidRPr="00526163" w:rsidRDefault="00A730C9" w:rsidP="00526163">
            <w:pPr>
              <w:rPr>
                <w:rFonts w:cs="Arial"/>
                <w:b/>
                <w:sz w:val="20"/>
                <w:szCs w:val="20"/>
              </w:rPr>
            </w:pPr>
            <w:r w:rsidRPr="00526163">
              <w:rPr>
                <w:rFonts w:cs="Arial"/>
                <w:b/>
                <w:sz w:val="20"/>
                <w:szCs w:val="20"/>
              </w:rPr>
              <w:t>Chapter</w:t>
            </w:r>
            <w:r w:rsidR="001B1A14">
              <w:rPr>
                <w:rFonts w:cs="Arial"/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550" w:type="pct"/>
          </w:tcPr>
          <w:p w:rsidR="00A730C9" w:rsidRPr="00526163" w:rsidRDefault="00A730C9" w:rsidP="00526163">
            <w:pPr>
              <w:rPr>
                <w:rFonts w:cs="Arial"/>
                <w:b/>
                <w:sz w:val="20"/>
                <w:szCs w:val="20"/>
              </w:rPr>
            </w:pPr>
            <w:r w:rsidRPr="00526163">
              <w:rPr>
                <w:rFonts w:cs="Arial"/>
                <w:b/>
                <w:sz w:val="20"/>
                <w:szCs w:val="20"/>
              </w:rPr>
              <w:t>Table Number</w:t>
            </w:r>
          </w:p>
        </w:tc>
        <w:tc>
          <w:tcPr>
            <w:tcW w:w="3612" w:type="pct"/>
          </w:tcPr>
          <w:p w:rsidR="00A730C9" w:rsidRPr="00526163" w:rsidRDefault="00A730C9" w:rsidP="00526163">
            <w:pPr>
              <w:rPr>
                <w:rFonts w:cs="Arial"/>
                <w:b/>
                <w:sz w:val="20"/>
                <w:szCs w:val="20"/>
              </w:rPr>
            </w:pPr>
            <w:r w:rsidRPr="00526163">
              <w:rPr>
                <w:rFonts w:cs="Arial"/>
                <w:b/>
                <w:sz w:val="20"/>
                <w:szCs w:val="20"/>
              </w:rPr>
              <w:t>Table Name</w:t>
            </w:r>
          </w:p>
        </w:tc>
      </w:tr>
      <w:tr w:rsidR="00E873A5" w:rsidRPr="00526163" w:rsidTr="007B3DDF">
        <w:trPr>
          <w:trHeight w:val="164"/>
        </w:trPr>
        <w:tc>
          <w:tcPr>
            <w:tcW w:w="838" w:type="pct"/>
            <w:vMerge w:val="restart"/>
          </w:tcPr>
          <w:p w:rsidR="00E873A5" w:rsidRPr="00526163" w:rsidRDefault="00E873A5" w:rsidP="005261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Chapter 2</w:t>
            </w:r>
          </w:p>
        </w:tc>
        <w:tc>
          <w:tcPr>
            <w:tcW w:w="550" w:type="pct"/>
            <w:vAlign w:val="center"/>
          </w:tcPr>
          <w:p w:rsidR="00E873A5" w:rsidRPr="00526163" w:rsidRDefault="00E873A5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1</w:t>
            </w:r>
            <w:r w:rsidR="00414C57">
              <w:rPr>
                <w:rFonts w:cs="Arial"/>
                <w:sz w:val="20"/>
                <w:szCs w:val="20"/>
              </w:rPr>
              <w:t xml:space="preserve"> a, b, c, d, e, f, g, h</w:t>
            </w:r>
          </w:p>
        </w:tc>
        <w:tc>
          <w:tcPr>
            <w:tcW w:w="3612" w:type="pct"/>
          </w:tcPr>
          <w:p w:rsidR="00E873A5" w:rsidRPr="00526163" w:rsidRDefault="00E873A5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Key performance indicator results</w:t>
            </w:r>
          </w:p>
        </w:tc>
      </w:tr>
      <w:tr w:rsidR="00E873A5" w:rsidRPr="00526163" w:rsidTr="007B3DDF">
        <w:tc>
          <w:tcPr>
            <w:tcW w:w="838" w:type="pct"/>
            <w:vMerge/>
          </w:tcPr>
          <w:p w:rsidR="00E873A5" w:rsidRPr="00526163" w:rsidRDefault="00E873A5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873A5" w:rsidRPr="00526163" w:rsidRDefault="00E873A5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2</w:t>
            </w:r>
          </w:p>
        </w:tc>
        <w:tc>
          <w:tcPr>
            <w:tcW w:w="3612" w:type="pct"/>
          </w:tcPr>
          <w:p w:rsidR="00E873A5" w:rsidRPr="00526163" w:rsidRDefault="00E873A5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Department of Human Services and Australian Taxation Office co-located sites</w:t>
            </w:r>
          </w:p>
        </w:tc>
      </w:tr>
      <w:tr w:rsidR="00897D86" w:rsidRPr="00526163" w:rsidTr="007B3DDF">
        <w:tc>
          <w:tcPr>
            <w:tcW w:w="838" w:type="pct"/>
            <w:vMerge w:val="restar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Chapter 3</w:t>
            </w: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3</w:t>
            </w:r>
            <w:r w:rsidR="00414C57">
              <w:rPr>
                <w:rFonts w:cs="Arial"/>
                <w:sz w:val="20"/>
                <w:szCs w:val="20"/>
              </w:rPr>
              <w:t xml:space="preserve"> a, b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Centrelink digital and self-managed transactions and customer registrations by channel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4</w:t>
            </w:r>
            <w:r w:rsidR="00414C57">
              <w:rPr>
                <w:rFonts w:cs="Arial"/>
                <w:sz w:val="20"/>
                <w:szCs w:val="20"/>
              </w:rPr>
              <w:t xml:space="preserve"> a, b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Medicare digital and self-managed transactions and customer registrations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5</w:t>
            </w:r>
            <w:r w:rsidR="00414C57">
              <w:rPr>
                <w:rFonts w:cs="Arial"/>
                <w:sz w:val="20"/>
                <w:szCs w:val="20"/>
              </w:rPr>
              <w:t xml:space="preserve"> a, b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Child Support digital and self-managed transactions and customer registrations by channel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6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Registrations for Centrelink service online letters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7</w:t>
            </w:r>
            <w:r w:rsidR="00414C57">
              <w:rPr>
                <w:rFonts w:cs="Arial"/>
                <w:sz w:val="20"/>
                <w:szCs w:val="20"/>
              </w:rPr>
              <w:t xml:space="preserve"> a, b, c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Letters and SMS—Centrelink, Medicare and Child Support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8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Centrelink new claims by major payment type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9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Summary of the department’s satisfaction research activities in 2012–13</w:t>
            </w:r>
          </w:p>
        </w:tc>
      </w:tr>
      <w:tr w:rsidR="00897D86" w:rsidRPr="00526163" w:rsidTr="007B3DDF">
        <w:tc>
          <w:tcPr>
            <w:tcW w:w="838" w:type="pct"/>
            <w:vMerge w:val="restar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Chapter 4</w:t>
            </w: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10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Private Collect arrangements 2010–11 to 2012–13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11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Amount of child support transferred between parents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12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Percentage of child support debt under a payment arrangement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13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Active paying parents with debt under arrangement and without debt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14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Activity tested recipients by payment type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15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Assessment services by assessment type and mix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16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Employment assessment services—key performance measures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17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Payments and claims under the LPG Vehicle Scheme</w:t>
            </w:r>
          </w:p>
        </w:tc>
      </w:tr>
      <w:tr w:rsidR="00897D86" w:rsidRPr="00526163" w:rsidTr="007B3DDF">
        <w:tc>
          <w:tcPr>
            <w:tcW w:w="838" w:type="pct"/>
            <w:vMerge w:val="restar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Chapter 5</w:t>
            </w: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18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Medicare enrolments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19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Medicare levy exemptions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20</w:t>
            </w:r>
            <w:r w:rsidR="00414C57">
              <w:rPr>
                <w:rFonts w:cs="Arial"/>
                <w:sz w:val="20"/>
                <w:szCs w:val="20"/>
              </w:rPr>
              <w:t xml:space="preserve"> a, b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Medicare services by claim type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21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Medicare services by payment type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22</w:t>
            </w:r>
            <w:r w:rsidR="00414C57">
              <w:rPr>
                <w:rFonts w:cs="Arial"/>
                <w:sz w:val="20"/>
                <w:szCs w:val="20"/>
              </w:rPr>
              <w:t xml:space="preserve"> a, b, c, d, e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Volumes of services transmitted electronically excluding Simple Mail Transfer Protocol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23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Department of Veterans’ Affairs processing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24</w:t>
            </w:r>
            <w:r w:rsidR="00414C57">
              <w:rPr>
                <w:rFonts w:cs="Arial"/>
                <w:sz w:val="20"/>
                <w:szCs w:val="20"/>
              </w:rPr>
              <w:t xml:space="preserve"> a, b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Australian Childhood Immunisation Register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25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Australian Organ Donor Register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26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External Breast Prostheses Reimbursement Program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27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National Bowel Cancer Screening Register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28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Continence Aids Payment Scheme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29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Private Health Insurance rebate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30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Hearing Services Program services and payments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31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Compensation recovery cases and benefits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32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General Practice Immunisation Incentive payments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33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Practice Incentives Program payments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34</w:t>
            </w:r>
            <w:r w:rsidR="00664E0B">
              <w:rPr>
                <w:rFonts w:cs="Arial"/>
                <w:sz w:val="20"/>
                <w:szCs w:val="20"/>
              </w:rPr>
              <w:t xml:space="preserve"> a, b, c, d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Practice Incentives Program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35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Mental Health Nurse Incentive Program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36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General Practice Rural Incentives Program—GP component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37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General Practice Rural Incentives Program—Registrar component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38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General Practice Rural Incentives Program—Rural Relocation Incentive Grant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39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HECS Reimbursement Scheme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40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Rural Procedural Grants Program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41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Rural Locum Education Assistance Program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42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High Cost Claims Indemnity Scheme claims processed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43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Premium Support Scheme participation and revenue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44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Run-off Cover Scheme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45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Incurred-But-Not-Reported Indemnity Claims Scheme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46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Level 1 and Level 2 Commonwealth Contributions (Claims Schemes) threshold amounts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47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Midwife Professional Indemnity Scheme administration fees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48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Australian Health Survey reimbursement claims and payments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49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PBS and RPBS expenditure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50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PBS administration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51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Approved PBS suppliers at 30 June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52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Aged Care overview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53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Aged Care Education and Training Incentive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54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Small Business Superannuation Clearing House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55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Early release of superannuation benefits on compassionate grounds</w:t>
            </w:r>
          </w:p>
        </w:tc>
      </w:tr>
      <w:tr w:rsidR="00897D86" w:rsidRPr="00526163" w:rsidTr="007B3DDF">
        <w:tc>
          <w:tcPr>
            <w:tcW w:w="838" w:type="pct"/>
            <w:vMerge w:val="restar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Chapter 6</w:t>
            </w: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56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External referrals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57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Income Management customers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58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AGDRP payments at 30 June 2013</w:t>
            </w:r>
          </w:p>
        </w:tc>
      </w:tr>
      <w:tr w:rsidR="00897D86" w:rsidRPr="00526163" w:rsidTr="007B3DDF">
        <w:tc>
          <w:tcPr>
            <w:tcW w:w="838" w:type="pct"/>
            <w:vMerge w:val="restar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Chapter 7</w:t>
            </w: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59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Centrelink payments compliance activity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60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Centrelink payments external review timeliness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61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Centrelink payments merit review applications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62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Centrelink payments merit review outcomes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63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Debts raised from customers receiving Centrelink payments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64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Child support compliance and enforcement actions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65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Description of child support compliance and enforcement activities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66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Change of assessment applications finalised and change assessment objections received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67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Completed audit and review of health-related cases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68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Internal reviews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69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Debts raised for recovery of benefits incorrectly paid</w:t>
            </w:r>
          </w:p>
        </w:tc>
      </w:tr>
      <w:tr w:rsidR="00897D86" w:rsidRPr="00526163" w:rsidTr="007B3DDF">
        <w:tc>
          <w:tcPr>
            <w:tcW w:w="838" w:type="pct"/>
            <w:vMerge w:val="restar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Chapter 8</w:t>
            </w: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70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Breaches of the APS Code of Conduct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71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Expenditure on consultancy services 2009–10 to 2012–13</w:t>
            </w:r>
          </w:p>
        </w:tc>
      </w:tr>
      <w:tr w:rsidR="00897D86" w:rsidRPr="00526163" w:rsidTr="007B3DDF">
        <w:tc>
          <w:tcPr>
            <w:tcW w:w="838" w:type="pct"/>
            <w:vMerge w:val="restar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Chapter 9</w:t>
            </w: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</w:t>
            </w:r>
            <w:r w:rsidR="00DD422A">
              <w:rPr>
                <w:rFonts w:cs="Arial"/>
                <w:sz w:val="20"/>
                <w:szCs w:val="20"/>
              </w:rPr>
              <w:t xml:space="preserve"> </w:t>
            </w:r>
            <w:r w:rsidRPr="00526163">
              <w:rPr>
                <w:rFonts w:cs="Arial"/>
                <w:sz w:val="20"/>
                <w:szCs w:val="20"/>
              </w:rPr>
              <w:t>72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Other sources of funding (contract revenue)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73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Income and expenses 2010–11 to 2012–13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74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Equity, assets and liabilities 2010–11 to 2012–13</w:t>
            </w:r>
          </w:p>
        </w:tc>
      </w:tr>
      <w:tr w:rsidR="00897D86" w:rsidRPr="00526163" w:rsidTr="007B3DDF">
        <w:tc>
          <w:tcPr>
            <w:tcW w:w="838" w:type="pct"/>
            <w:vMerge w:val="restar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Chapter 10</w:t>
            </w: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75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Human Services (Medicare) Act 1973—section 42 reporting requirements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Table76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Payments on behalf of other departments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77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Data Matching Agency input and output for all agencies 2010–13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</w:t>
            </w:r>
            <w:r w:rsidR="00DD422A">
              <w:rPr>
                <w:rFonts w:cs="Arial"/>
                <w:sz w:val="20"/>
                <w:szCs w:val="20"/>
              </w:rPr>
              <w:t xml:space="preserve"> </w:t>
            </w:r>
            <w:r w:rsidRPr="00526163">
              <w:rPr>
                <w:rFonts w:cs="Arial"/>
                <w:sz w:val="20"/>
                <w:szCs w:val="20"/>
              </w:rPr>
              <w:t>78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Results of discrepancies released for action in 2010–13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</w:t>
            </w:r>
            <w:r w:rsidR="00DD422A">
              <w:rPr>
                <w:rFonts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526163">
              <w:rPr>
                <w:rFonts w:cs="Arial"/>
                <w:sz w:val="20"/>
                <w:szCs w:val="20"/>
              </w:rPr>
              <w:t>79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Direct cost–benefit summary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80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Data-matching Program events in 2010–13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</w:t>
            </w:r>
            <w:r w:rsidR="00DD422A">
              <w:rPr>
                <w:rFonts w:cs="Arial"/>
                <w:sz w:val="20"/>
                <w:szCs w:val="20"/>
              </w:rPr>
              <w:t xml:space="preserve"> </w:t>
            </w:r>
            <w:r w:rsidRPr="00526163">
              <w:rPr>
                <w:rFonts w:cs="Arial"/>
                <w:sz w:val="20"/>
                <w:szCs w:val="20"/>
              </w:rPr>
              <w:t>81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Staff by substantive classification and location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82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Staff by substantive classification and employment status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83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Staff by substantive classification and employment type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84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Staff by substantive classification and gender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85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Staff by substantive classification and diverse background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86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Salary ranges for staff covered by the Department of Human Services Agreement 2011–14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87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Salary ranges for staff covered by the Department of Human Services Medical Officers Agreement 2013–2014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88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Salary range for SES classifications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89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Employment arrangements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90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 xml:space="preserve">Incidents notified to </w:t>
            </w:r>
            <w:proofErr w:type="spellStart"/>
            <w:r w:rsidRPr="00526163">
              <w:rPr>
                <w:rFonts w:cs="Arial"/>
                <w:sz w:val="20"/>
                <w:szCs w:val="20"/>
              </w:rPr>
              <w:t>Comcare</w:t>
            </w:r>
            <w:proofErr w:type="spellEnd"/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91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Costs associated with advertising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92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Payments associated with market research organisations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93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Resources use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94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Waste, resource recovery and pollution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95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Control measures and initiatives 2012–13—resource use and supplier and product selection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</w:t>
            </w:r>
            <w:r w:rsidR="00DD422A">
              <w:rPr>
                <w:rFonts w:cs="Arial"/>
                <w:sz w:val="20"/>
                <w:szCs w:val="20"/>
              </w:rPr>
              <w:t xml:space="preserve"> </w:t>
            </w:r>
            <w:r w:rsidRPr="00526163">
              <w:rPr>
                <w:rFonts w:cs="Arial"/>
                <w:sz w:val="20"/>
                <w:szCs w:val="20"/>
              </w:rPr>
              <w:t>96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Office energy performance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97</w:t>
            </w:r>
            <w:r w:rsidR="00664E0B">
              <w:rPr>
                <w:rFonts w:cs="Arial"/>
                <w:sz w:val="20"/>
                <w:szCs w:val="20"/>
              </w:rPr>
              <w:t xml:space="preserve"> a, b, c, d, e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Resource statements 2012–13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98</w:t>
            </w:r>
            <w:r w:rsidR="00664E0B">
              <w:rPr>
                <w:rFonts w:cs="Arial"/>
                <w:sz w:val="20"/>
                <w:szCs w:val="20"/>
              </w:rPr>
              <w:t xml:space="preserve"> a, b, c, d, e, f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Expenses for Outcome 1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99</w:t>
            </w:r>
            <w:r w:rsidR="00664E0B">
              <w:rPr>
                <w:rFonts w:cs="Arial"/>
                <w:sz w:val="20"/>
                <w:szCs w:val="20"/>
              </w:rPr>
              <w:t xml:space="preserve"> a, b, c, d, e, f, g, h, I, j, k, l, m, n</w:t>
            </w:r>
          </w:p>
        </w:tc>
        <w:tc>
          <w:tcPr>
            <w:tcW w:w="3612" w:type="pc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Compliance Index</w:t>
            </w:r>
          </w:p>
        </w:tc>
      </w:tr>
    </w:tbl>
    <w:p w:rsidR="00A730C9" w:rsidRPr="00526163" w:rsidRDefault="00A730C9" w:rsidP="00A730C9">
      <w:pPr>
        <w:rPr>
          <w:rFonts w:cs="Arial"/>
          <w:sz w:val="20"/>
          <w:szCs w:val="20"/>
        </w:rPr>
      </w:pPr>
    </w:p>
    <w:sectPr w:rsidR="00A730C9" w:rsidRPr="00526163" w:rsidSect="00D94AB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0C9"/>
    <w:rsid w:val="000F6455"/>
    <w:rsid w:val="001B1A14"/>
    <w:rsid w:val="00414C57"/>
    <w:rsid w:val="00424A02"/>
    <w:rsid w:val="00526163"/>
    <w:rsid w:val="00623EC6"/>
    <w:rsid w:val="00664E0B"/>
    <w:rsid w:val="007B3DDF"/>
    <w:rsid w:val="00867D3F"/>
    <w:rsid w:val="00897D86"/>
    <w:rsid w:val="008F19C7"/>
    <w:rsid w:val="00A730C9"/>
    <w:rsid w:val="00D94ABD"/>
    <w:rsid w:val="00DD422A"/>
    <w:rsid w:val="00E873A5"/>
    <w:rsid w:val="00FB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0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0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5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Human Services</dc:creator>
  <cp:lastModifiedBy>Omar Radwan Elarif</cp:lastModifiedBy>
  <cp:revision>3</cp:revision>
  <dcterms:created xsi:type="dcterms:W3CDTF">2014-05-12T03:54:00Z</dcterms:created>
  <dcterms:modified xsi:type="dcterms:W3CDTF">2014-05-13T00:16:00Z</dcterms:modified>
</cp:coreProperties>
</file>